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p>
    <w:p w:rsidR="004F2D22" w:rsidRPr="00E10E80" w:rsidRDefault="004F2D22" w:rsidP="00E10E80">
      <w:pPr>
        <w:jc w:val="center"/>
      </w:pPr>
      <w:r w:rsidRPr="00E10E80">
        <w:t>Questions</w:t>
      </w:r>
    </w:p>
    <w:p w:rsidR="004F2D22" w:rsidRPr="00E10E80" w:rsidRDefault="004F2D22" w:rsidP="00E10E80">
      <w:pPr>
        <w:jc w:val="center"/>
      </w:pPr>
      <w:r w:rsidRPr="00E10E80">
        <w:t>Name</w:t>
      </w:r>
    </w:p>
    <w:p w:rsidR="004F2D22" w:rsidRPr="00E10E80" w:rsidRDefault="004F2D22" w:rsidP="00E10E80">
      <w:pPr>
        <w:jc w:val="center"/>
      </w:pPr>
      <w:r w:rsidRPr="00E10E80">
        <w:t>Institution</w:t>
      </w:r>
    </w:p>
    <w:p w:rsidR="004F2D22" w:rsidRPr="00E10E80" w:rsidRDefault="004F2D22" w:rsidP="00E10E80">
      <w:pPr>
        <w:jc w:val="center"/>
      </w:pPr>
      <w:r w:rsidRPr="00E10E80">
        <w:t>Date</w:t>
      </w:r>
    </w:p>
    <w:p w:rsidR="004F2D22" w:rsidRPr="00E10E80" w:rsidRDefault="004F2D22" w:rsidP="00E10E80">
      <w:r w:rsidRPr="00E10E80">
        <w:br w:type="page"/>
      </w:r>
    </w:p>
    <w:p w:rsidR="004F2D22" w:rsidRPr="00E10E80" w:rsidRDefault="004F2D22" w:rsidP="00E10E80">
      <w:pPr>
        <w:jc w:val="center"/>
      </w:pPr>
      <w:r w:rsidRPr="00E10E80">
        <w:lastRenderedPageBreak/>
        <w:t>Questions</w:t>
      </w:r>
    </w:p>
    <w:p w:rsidR="00B82880" w:rsidRPr="00E10E80" w:rsidRDefault="00390F29" w:rsidP="00E10E80">
      <w:pPr>
        <w:jc w:val="center"/>
        <w:rPr>
          <w:b/>
        </w:rPr>
      </w:pPr>
      <w:r w:rsidRPr="00E10E80">
        <w:rPr>
          <w:b/>
        </w:rPr>
        <w:t>Question 1</w:t>
      </w:r>
    </w:p>
    <w:p w:rsidR="004F2D22" w:rsidRPr="00E10E80" w:rsidRDefault="004F2D22" w:rsidP="00E10E80">
      <w:pPr>
        <w:ind w:firstLine="720"/>
      </w:pPr>
      <w:r w:rsidRPr="00E10E80">
        <w:t>In the Federal courts of the United States, the circuit split when more than two different circuits of appeals offer rules that are conflicting regarding the same issue. Many scholars defend their justifications whether it is detrimental or beneficial. One circumstance that bound different federal courts to have conflicting interpretations of the same law is when the life of</w:t>
      </w:r>
      <w:r w:rsidR="00E85551" w:rsidRPr="00E10E80">
        <w:t xml:space="preserve"> the </w:t>
      </w:r>
      <w:r w:rsidR="00E10E80">
        <w:t xml:space="preserve">general </w:t>
      </w:r>
      <w:r w:rsidR="00E85551" w:rsidRPr="00E10E80">
        <w:t>public is at risk or</w:t>
      </w:r>
      <w:r w:rsidR="00F77F0F">
        <w:t xml:space="preserve"> at</w:t>
      </w:r>
      <w:r w:rsidR="00E85551" w:rsidRPr="00E10E80">
        <w:t xml:space="preserve"> stake (Johnson &amp; Whittington, 2018). </w:t>
      </w:r>
      <w:r w:rsidRPr="00E10E80">
        <w:t xml:space="preserve">The United States values the well-being of everyone from internal threats. As such, the Federal courts are always determined to offer a judgement that will trigger and improve security. However, different federal courts may be bound by conflicting interpretations of the same law in case the security teams seize an individual who does not have a warrant according to the security team. In this case, there arise assumptions on whether the individual who is seized committed a misdemeanour or not. In such a circumstance, different federal courts may have interpretations on the same law upon the judgement. </w:t>
      </w:r>
    </w:p>
    <w:p w:rsidR="004F2D22" w:rsidRPr="00E10E80" w:rsidRDefault="004F2D22" w:rsidP="00E10E80">
      <w:pPr>
        <w:ind w:firstLine="720"/>
      </w:pPr>
      <w:r w:rsidRPr="00E10E80">
        <w:t xml:space="preserve">Again, the conflicting interpretations of the same law can be resolved by courts through the help of judicial comity techniques rather than directly implementing rules that </w:t>
      </w:r>
      <w:r w:rsidR="00144E15" w:rsidRPr="00E10E80">
        <w:t>are always conflicting. According to Scalia (2018),</w:t>
      </w:r>
      <w:r w:rsidRPr="00E10E80">
        <w:t xml:space="preserve"> the directly implemented rules are flexible hence providing an opportunity for various variations upon the judgement. On the same note, they can harmonize and regulate the relationship on different legal systems according to various levels. Also, these disagreements can be solved by examining the impact of the interpretations based on the context of the</w:t>
      </w:r>
      <w:r w:rsidR="00E10E80">
        <w:t xml:space="preserve"> case. For example, a case that</w:t>
      </w:r>
      <w:r w:rsidRPr="00E10E80">
        <w:t xml:space="preserve"> involves a global issue and the inclusion of another state would call for a judgement that will tend to protect all the interests of the United States. For that reason, the impact or the results in a specific case between different federal courts may call for a universal interpretation. </w:t>
      </w:r>
    </w:p>
    <w:p w:rsidR="004F2D22" w:rsidRPr="00E10E80" w:rsidRDefault="004F2D22" w:rsidP="00E10E80">
      <w:pPr>
        <w:jc w:val="center"/>
      </w:pPr>
      <w:r w:rsidRPr="00E10E80">
        <w:lastRenderedPageBreak/>
        <w:t>References</w:t>
      </w:r>
    </w:p>
    <w:p w:rsidR="00972D8A" w:rsidRPr="00E10E80" w:rsidRDefault="00972D8A" w:rsidP="00E10E80">
      <w:pPr>
        <w:ind w:left="720" w:hanging="720"/>
        <w:rPr>
          <w:color w:val="222222"/>
          <w:shd w:val="clear" w:color="auto" w:fill="FFFFFF"/>
        </w:rPr>
      </w:pPr>
      <w:r w:rsidRPr="00E10E80">
        <w:rPr>
          <w:color w:val="222222"/>
          <w:shd w:val="clear" w:color="auto" w:fill="FFFFFF"/>
        </w:rPr>
        <w:t>Johnson, B., &amp; Whittington, K. E. (2018). Why Does the Supreme Court Uphold So Many Laws. </w:t>
      </w:r>
      <w:r w:rsidRPr="00E10E80">
        <w:rPr>
          <w:i/>
          <w:iCs/>
          <w:color w:val="222222"/>
          <w:shd w:val="clear" w:color="auto" w:fill="FFFFFF"/>
        </w:rPr>
        <w:t>U. Ill. L. Rev.</w:t>
      </w:r>
      <w:r w:rsidRPr="00E10E80">
        <w:rPr>
          <w:color w:val="222222"/>
          <w:shd w:val="clear" w:color="auto" w:fill="FFFFFF"/>
        </w:rPr>
        <w:t>, 1001.</w:t>
      </w:r>
    </w:p>
    <w:p w:rsidR="00972D8A" w:rsidRPr="00E10E80" w:rsidRDefault="00972D8A" w:rsidP="00E10E80">
      <w:pPr>
        <w:ind w:left="720" w:hanging="720"/>
        <w:rPr>
          <w:color w:val="222222"/>
          <w:shd w:val="clear" w:color="auto" w:fill="FFFFFF"/>
        </w:rPr>
      </w:pPr>
      <w:r w:rsidRPr="00E10E80">
        <w:rPr>
          <w:color w:val="222222"/>
          <w:shd w:val="clear" w:color="auto" w:fill="FFFFFF"/>
        </w:rPr>
        <w:t>Scalia, A. (2018). </w:t>
      </w:r>
      <w:r w:rsidRPr="00E10E80">
        <w:rPr>
          <w:i/>
          <w:iCs/>
          <w:color w:val="222222"/>
          <w:shd w:val="clear" w:color="auto" w:fill="FFFFFF"/>
        </w:rPr>
        <w:t>A Matter of Interpretation: Federal Courts and the Law-New Edition</w:t>
      </w:r>
      <w:r w:rsidRPr="00E10E80">
        <w:rPr>
          <w:color w:val="222222"/>
          <w:shd w:val="clear" w:color="auto" w:fill="FFFFFF"/>
        </w:rPr>
        <w:t>. Princeton University Press.</w:t>
      </w:r>
    </w:p>
    <w:p w:rsidR="004F2D22" w:rsidRPr="00E10E80" w:rsidRDefault="004F2D22" w:rsidP="00E10E80">
      <w:pPr>
        <w:jc w:val="center"/>
        <w:rPr>
          <w:b/>
        </w:rPr>
      </w:pPr>
      <w:r w:rsidRPr="00E10E80">
        <w:rPr>
          <w:b/>
        </w:rPr>
        <w:t>Question 2</w:t>
      </w:r>
    </w:p>
    <w:p w:rsidR="004F2D22" w:rsidRPr="00E10E80" w:rsidRDefault="004F2D22" w:rsidP="00E10E80">
      <w:pPr>
        <w:ind w:firstLine="720"/>
      </w:pPr>
      <w:r w:rsidRPr="00E10E80">
        <w:t>It is evident that there is no federal security breach notification law</w:t>
      </w:r>
      <w:r w:rsidR="00E10E80">
        <w:t xml:space="preserve"> in the United States</w:t>
      </w:r>
      <w:r w:rsidRPr="00E10E80">
        <w:t xml:space="preserve">. Due to the presence of advanced and modernized technology, a security breach is likely to occur more often in companies </w:t>
      </w:r>
      <w:r w:rsidR="00E10E80">
        <w:t>and in personal devices</w:t>
      </w:r>
      <w:r w:rsidRPr="00E10E80">
        <w:t xml:space="preserve"> owned by the public. In addition, security breach notification law is needed for it can help in reducing cases of cybercrime. Cybercrime stands out to be one of the most common crimes in the world because it is attributed to many negative implications</w:t>
      </w:r>
      <w:r w:rsidR="005D57C5" w:rsidRPr="00E10E80">
        <w:t xml:space="preserve"> (Dunlap, Cummings &amp; Janicki, 2018)</w:t>
      </w:r>
      <w:r w:rsidRPr="00E10E80">
        <w:t xml:space="preserve">. Hence, a security breach notification law can limit cybercrime attacks. One benefit of federal law is that it helps service providers, customers, and business owners to maintain and store confidential information. These persons can use the federal law as a base hence being in a pole position to ensure that crucial data is not lost and leaked. Another benefit of federal law is that it can be used to identify the possibility of threats caused by a data breach. Through the formulation of the federal law, it is possible to clearly define the meaning of data breach, which will allow the initiation of actions that ought to be taken in case the public experience a real data breach. </w:t>
      </w:r>
    </w:p>
    <w:p w:rsidR="004F2D22" w:rsidRPr="00E10E80" w:rsidRDefault="004F2D22" w:rsidP="00E10E80">
      <w:pPr>
        <w:ind w:firstLine="720"/>
      </w:pPr>
      <w:r w:rsidRPr="00E10E80">
        <w:t xml:space="preserve">Based on a drawback of the security breach notification law, its passage is likely to benefit the government especially </w:t>
      </w:r>
      <w:r w:rsidR="00E10E80">
        <w:t xml:space="preserve">in </w:t>
      </w:r>
      <w:r w:rsidRPr="00E10E80">
        <w:t>the manner it handles information of the public and corporations. As such, the privacy of the public and corporations would be controlled by the government as it aims to satisfy its interests in the</w:t>
      </w:r>
      <w:r w:rsidR="0010084E" w:rsidRPr="00E10E80">
        <w:t xml:space="preserve"> expense of those of the public (Sullivan &amp; </w:t>
      </w:r>
      <w:r w:rsidR="0010084E" w:rsidRPr="00E10E80">
        <w:lastRenderedPageBreak/>
        <w:t>Maniff, 2016).</w:t>
      </w:r>
      <w:r w:rsidRPr="00E10E80">
        <w:t xml:space="preserve"> Concerning the issue of </w:t>
      </w:r>
      <w:r w:rsidR="00A6383E" w:rsidRPr="00E10E80">
        <w:t>pre-emption</w:t>
      </w:r>
      <w:r w:rsidRPr="00E10E80">
        <w:t>, the Federal law through the Congress may aim to pass the security breach notification law to control information over state laws as well as impede the state from enacting other laws regar</w:t>
      </w:r>
      <w:r w:rsidR="00E10E80">
        <w:t>ding security and control of</w:t>
      </w:r>
      <w:r w:rsidRPr="00E10E80">
        <w:t xml:space="preserve"> information. </w:t>
      </w:r>
    </w:p>
    <w:p w:rsidR="004F2D22" w:rsidRPr="00E10E80" w:rsidRDefault="004F2D22" w:rsidP="00E10E80">
      <w:pPr>
        <w:jc w:val="center"/>
      </w:pPr>
      <w:r w:rsidRPr="00E10E80">
        <w:t>References</w:t>
      </w:r>
    </w:p>
    <w:p w:rsidR="005D57C5" w:rsidRPr="00E10E80" w:rsidRDefault="005D57C5" w:rsidP="00E10E80">
      <w:pPr>
        <w:ind w:left="720" w:hanging="720"/>
        <w:rPr>
          <w:color w:val="222222"/>
          <w:shd w:val="clear" w:color="auto" w:fill="FFFFFF"/>
        </w:rPr>
      </w:pPr>
      <w:r w:rsidRPr="00E10E80">
        <w:rPr>
          <w:color w:val="222222"/>
          <w:shd w:val="clear" w:color="auto" w:fill="FFFFFF"/>
        </w:rPr>
        <w:t>Dunlap, L., Cummings, J., &amp; Janicki, T. N. (2018). Information Security and Privacy Legislation: Current State and Future Direction. </w:t>
      </w:r>
      <w:r w:rsidRPr="00E10E80">
        <w:rPr>
          <w:i/>
          <w:iCs/>
          <w:color w:val="222222"/>
          <w:shd w:val="clear" w:color="auto" w:fill="FFFFFF"/>
        </w:rPr>
        <w:t>Journal of Information Systems Applied Research</w:t>
      </w:r>
      <w:r w:rsidRPr="00E10E80">
        <w:rPr>
          <w:color w:val="222222"/>
          <w:shd w:val="clear" w:color="auto" w:fill="FFFFFF"/>
        </w:rPr>
        <w:t>, </w:t>
      </w:r>
      <w:r w:rsidRPr="00E10E80">
        <w:rPr>
          <w:i/>
          <w:iCs/>
          <w:color w:val="222222"/>
          <w:shd w:val="clear" w:color="auto" w:fill="FFFFFF"/>
        </w:rPr>
        <w:t>11</w:t>
      </w:r>
      <w:r w:rsidRPr="00E10E80">
        <w:rPr>
          <w:color w:val="222222"/>
          <w:shd w:val="clear" w:color="auto" w:fill="FFFFFF"/>
        </w:rPr>
        <w:t>(2), 24.</w:t>
      </w:r>
    </w:p>
    <w:p w:rsidR="005D57C5" w:rsidRPr="00E10E80" w:rsidRDefault="005D57C5" w:rsidP="00E10E80">
      <w:pPr>
        <w:ind w:left="720" w:hanging="720"/>
        <w:rPr>
          <w:color w:val="222222"/>
          <w:shd w:val="clear" w:color="auto" w:fill="FFFFFF"/>
        </w:rPr>
      </w:pPr>
      <w:r w:rsidRPr="00E10E80">
        <w:rPr>
          <w:color w:val="222222"/>
          <w:shd w:val="clear" w:color="auto" w:fill="FFFFFF"/>
        </w:rPr>
        <w:t>Sullivan, R. J., &amp; Maniff, J. L. (2016). Data Breach Notification Laws. </w:t>
      </w:r>
      <w:r w:rsidRPr="00E10E80">
        <w:rPr>
          <w:i/>
          <w:iCs/>
          <w:color w:val="222222"/>
          <w:shd w:val="clear" w:color="auto" w:fill="FFFFFF"/>
        </w:rPr>
        <w:t>Economic Review (01612387)</w:t>
      </w:r>
      <w:r w:rsidRPr="00E10E80">
        <w:rPr>
          <w:color w:val="222222"/>
          <w:shd w:val="clear" w:color="auto" w:fill="FFFFFF"/>
        </w:rPr>
        <w:t>, </w:t>
      </w:r>
      <w:r w:rsidRPr="00E10E80">
        <w:rPr>
          <w:i/>
          <w:iCs/>
          <w:color w:val="222222"/>
          <w:shd w:val="clear" w:color="auto" w:fill="FFFFFF"/>
        </w:rPr>
        <w:t>101</w:t>
      </w:r>
      <w:r w:rsidRPr="00E10E80">
        <w:rPr>
          <w:color w:val="222222"/>
          <w:shd w:val="clear" w:color="auto" w:fill="FFFFFF"/>
        </w:rPr>
        <w:t>(1).</w:t>
      </w:r>
    </w:p>
    <w:p w:rsidR="004F2D22" w:rsidRPr="00E10E80" w:rsidRDefault="004F2D22" w:rsidP="00E10E80">
      <w:pPr>
        <w:jc w:val="center"/>
        <w:rPr>
          <w:b/>
        </w:rPr>
      </w:pPr>
      <w:r w:rsidRPr="00E10E80">
        <w:rPr>
          <w:b/>
        </w:rPr>
        <w:t>Question 3</w:t>
      </w:r>
    </w:p>
    <w:p w:rsidR="004F2D22" w:rsidRPr="00E10E80" w:rsidRDefault="004F2D22" w:rsidP="00E10E80">
      <w:pPr>
        <w:ind w:firstLine="720"/>
      </w:pPr>
      <w:r w:rsidRPr="00E10E80">
        <w:t>‘‘Fair use’’ is a policy that is commonly applied in the United St</w:t>
      </w:r>
      <w:r w:rsidR="0020787C">
        <w:t>ates and it allows limited use o</w:t>
      </w:r>
      <w:r w:rsidRPr="00E10E80">
        <w:t>f the material that is copyrighted without having to acquire prior permission from the copyright holder upon using it. On the other hand, Digital rights management (DRM) is a kind of systematic meth</w:t>
      </w:r>
      <w:r w:rsidR="0020787C">
        <w:t>od that is used to copyright</w:t>
      </w:r>
      <w:r w:rsidRPr="00E10E80">
        <w:t xml:space="preserve"> digital media with an aim to counter the use, distribution and modification of works that are copyrighted. Both “fair use” and Digital Rights Management (DRM) relate because they act as incentives that are fundamental in promoting innovation</w:t>
      </w:r>
      <w:r w:rsidR="004B2FCA" w:rsidRPr="00E10E80">
        <w:t xml:space="preserve"> (Dariel, 2019)</w:t>
      </w:r>
      <w:r w:rsidRPr="00E10E80">
        <w:t>. Innovation is significant especially in the United States especially because it triggers new developments in the scientific</w:t>
      </w:r>
      <w:r w:rsidR="0020787C">
        <w:t xml:space="preserve"> sector</w:t>
      </w:r>
      <w:r w:rsidRPr="00E10E80">
        <w:t>. As such, “fair use” and Digital Rights Management (DRM) allows the public to use copyrighted works without restrictions and pressure. As a result, a sense of innovation arises from the freedom hence enabling the public to use the media content positively. On the same note, these two policies have enabled the</w:t>
      </w:r>
      <w:r w:rsidR="0020787C">
        <w:t xml:space="preserve"> public to innovate new devices and</w:t>
      </w:r>
      <w:r w:rsidRPr="00E10E80">
        <w:t xml:space="preserve"> electronics hence making life easier as wel</w:t>
      </w:r>
      <w:r w:rsidR="0020787C">
        <w:t>l as the operation of devices</w:t>
      </w:r>
      <w:r w:rsidRPr="00E10E80">
        <w:t xml:space="preserve">. </w:t>
      </w:r>
    </w:p>
    <w:p w:rsidR="004F2D22" w:rsidRPr="00E10E80" w:rsidRDefault="004F2D22" w:rsidP="0020787C">
      <w:pPr>
        <w:ind w:firstLine="720"/>
      </w:pPr>
      <w:r w:rsidRPr="00E10E80">
        <w:lastRenderedPageBreak/>
        <w:t>However, “fair use” and Digital Rights Management (DRM) coexist in the sense that they both allow the public to improve the software</w:t>
      </w:r>
      <w:r w:rsidR="0020787C">
        <w:t xml:space="preserve"> and technical industries</w:t>
      </w:r>
      <w:r w:rsidRPr="00E10E80">
        <w:t xml:space="preserve">. The software </w:t>
      </w:r>
      <w:r w:rsidR="0020787C">
        <w:t>and technical industries</w:t>
      </w:r>
      <w:r w:rsidRPr="00E10E80">
        <w:t xml:space="preserve"> encompasses applications that are used in banks, industries, cyber as well as personal mobile devices. “Fair use’’ ensures that the rights of the public and those of copyright holders are balanced</w:t>
      </w:r>
      <w:r w:rsidR="00831401" w:rsidRPr="00E10E80">
        <w:t xml:space="preserve"> (Smith et al., 2019)</w:t>
      </w:r>
      <w:r w:rsidRPr="00E10E80">
        <w:t xml:space="preserve">. As a result, the public is motivated to initiate new ideas in the software industry. On the other hand, Digital Rights Management (DRM) challenges the public to come up with original ideas on the scope of the software industry. The fact that it is impossible to steal content, the public is motivated to be creative hence increasing online privacy. </w:t>
      </w:r>
    </w:p>
    <w:p w:rsidR="004F2D22" w:rsidRPr="00E10E80" w:rsidRDefault="004F2D22" w:rsidP="00E10E80">
      <w:pPr>
        <w:jc w:val="center"/>
      </w:pPr>
      <w:r w:rsidRPr="00E10E80">
        <w:t>References</w:t>
      </w:r>
    </w:p>
    <w:p w:rsidR="009C1815" w:rsidRPr="00E10E80" w:rsidRDefault="009C1815" w:rsidP="00E10E80">
      <w:pPr>
        <w:ind w:left="720" w:hanging="720"/>
      </w:pPr>
      <w:r w:rsidRPr="00E10E80">
        <w:rPr>
          <w:color w:val="222222"/>
          <w:shd w:val="clear" w:color="auto" w:fill="FFFFFF"/>
        </w:rPr>
        <w:t>Dariel, D. (2019). </w:t>
      </w:r>
      <w:r w:rsidRPr="00E10E80">
        <w:rPr>
          <w:i/>
          <w:iCs/>
          <w:color w:val="222222"/>
          <w:shd w:val="clear" w:color="auto" w:fill="FFFFFF"/>
        </w:rPr>
        <w:t>U.S. Patent Application No. 12/428,206</w:t>
      </w:r>
      <w:r w:rsidRPr="00E10E80">
        <w:rPr>
          <w:color w:val="222222"/>
          <w:shd w:val="clear" w:color="auto" w:fill="FFFFFF"/>
        </w:rPr>
        <w:t>.</w:t>
      </w:r>
    </w:p>
    <w:p w:rsidR="009C1815" w:rsidRPr="00E10E80" w:rsidRDefault="009C1815" w:rsidP="00E10E80">
      <w:pPr>
        <w:ind w:left="720" w:hanging="720"/>
        <w:rPr>
          <w:color w:val="222222"/>
          <w:shd w:val="clear" w:color="auto" w:fill="FFFFFF"/>
        </w:rPr>
      </w:pPr>
      <w:r w:rsidRPr="00E10E80">
        <w:rPr>
          <w:color w:val="222222"/>
          <w:shd w:val="clear" w:color="auto" w:fill="FFFFFF"/>
        </w:rPr>
        <w:t>Smith, N. M., Heldt-sheller, N., Lal, R., Sheller, M. J., &amp; Hoekstra, M. E. (2019). </w:t>
      </w:r>
      <w:r w:rsidRPr="00E10E80">
        <w:rPr>
          <w:i/>
          <w:iCs/>
          <w:color w:val="222222"/>
          <w:shd w:val="clear" w:color="auto" w:fill="FFFFFF"/>
        </w:rPr>
        <w:t>U.S. Patent Application No. 15/653,125</w:t>
      </w:r>
      <w:r w:rsidRPr="00E10E80">
        <w:rPr>
          <w:color w:val="222222"/>
          <w:shd w:val="clear" w:color="auto" w:fill="FFFFFF"/>
        </w:rPr>
        <w:t>.</w:t>
      </w:r>
    </w:p>
    <w:p w:rsidR="004F2D22" w:rsidRPr="00E10E80" w:rsidRDefault="004F2D22" w:rsidP="00E10E80">
      <w:pPr>
        <w:jc w:val="center"/>
        <w:rPr>
          <w:b/>
        </w:rPr>
      </w:pPr>
      <w:r w:rsidRPr="00E10E80">
        <w:rPr>
          <w:b/>
        </w:rPr>
        <w:t>Question 4</w:t>
      </w:r>
    </w:p>
    <w:p w:rsidR="004F2D22" w:rsidRPr="00E10E80" w:rsidRDefault="004F2D22" w:rsidP="00E10E80">
      <w:pPr>
        <w:ind w:firstLine="720"/>
      </w:pPr>
      <w:r w:rsidRPr="00E10E80">
        <w:t xml:space="preserve">The right to privacy means the rights decide whether or not one is willing to engage in a </w:t>
      </w:r>
      <w:r w:rsidR="00F77F0F">
        <w:t xml:space="preserve">specific actor and holds a </w:t>
      </w:r>
      <w:r w:rsidRPr="00E10E80">
        <w:t>particular experience</w:t>
      </w:r>
      <w:r w:rsidR="00F77F0F">
        <w:t xml:space="preserve"> or not</w:t>
      </w:r>
      <w:r w:rsidRPr="00E10E80">
        <w:t>. However, the U.S. Constitution does not have an express right to privacy like it is the case in other sectors</w:t>
      </w:r>
      <w:r w:rsidR="002849BD" w:rsidRPr="00E10E80">
        <w:t xml:space="preserve"> (Khan, 2019)</w:t>
      </w:r>
      <w:r w:rsidRPr="00E10E80">
        <w:t xml:space="preserve">. In other words, no single dedicated data protection law can benefit the public directly. Instead, the public only benefits from privacy protections only under a sector-by-sector basis. Besides, there are no legal structures and regulations that demand different state and federal data protection authorities to cooperate. The court can rely on the Fourth Amendment of the Constitution to protect a right to privacy. It states that the public should be secure in their houses and no rights against unreasonable seizures and searches shall be violated. On the same note, it also asserts that no warrants shall be issued upon any probable cause. </w:t>
      </w:r>
    </w:p>
    <w:p w:rsidR="004F2D22" w:rsidRPr="00E10E80" w:rsidRDefault="004F2D22" w:rsidP="00E10E80">
      <w:pPr>
        <w:ind w:firstLine="720"/>
      </w:pPr>
      <w:r w:rsidRPr="00E10E80">
        <w:lastRenderedPageBreak/>
        <w:t>Examples of types of privacy that are protected are beliefs. This is possible through the help of several Amendments. Beliefs are protected under the First Amendment</w:t>
      </w:r>
      <w:r w:rsidR="002849BD" w:rsidRPr="00E10E80">
        <w:t xml:space="preserve"> (Priester, 2019)</w:t>
      </w:r>
      <w:r w:rsidRPr="00E10E80">
        <w:t>. The privacy in houses and o</w:t>
      </w:r>
      <w:r w:rsidR="00F77F0F">
        <w:t>ther residential areas is</w:t>
      </w:r>
      <w:r w:rsidRPr="00E10E80">
        <w:t xml:space="preserve"> also protected. This is well protected in the Fourth Amendment, as it asserts that the public is free from unreasonable searches. This means that everyone in the United States has a right to deny allowing soldiers, security personnel or investigators</w:t>
      </w:r>
      <w:r w:rsidR="00F77F0F">
        <w:t xml:space="preserve"> to</w:t>
      </w:r>
      <w:r w:rsidRPr="00E10E80">
        <w:t xml:space="preserve"> access in case they are interested in conducting an unreasonable search. Another privacy that is protected is backed by the Third Amendment, which prevents</w:t>
      </w:r>
      <w:r w:rsidR="0020787C">
        <w:t xml:space="preserve"> soldiers from assuming residence in homes of</w:t>
      </w:r>
      <w:r w:rsidRPr="00E10E80">
        <w:t xml:space="preserve"> people in case they are conducting a mission or an operation. This is also </w:t>
      </w:r>
      <w:r w:rsidR="0020787C">
        <w:t>backed in</w:t>
      </w:r>
      <w:r w:rsidRPr="00E10E80">
        <w:t xml:space="preserve"> the Fourth Amendment as </w:t>
      </w:r>
      <w:r w:rsidR="00F77F0F">
        <w:t xml:space="preserve">it </w:t>
      </w:r>
      <w:r w:rsidRPr="00E10E80">
        <w:t>aim</w:t>
      </w:r>
      <w:r w:rsidR="00F77F0F">
        <w:t>s</w:t>
      </w:r>
      <w:r w:rsidRPr="00E10E80">
        <w:t xml:space="preserve"> to protect the privacy of the public. </w:t>
      </w:r>
    </w:p>
    <w:p w:rsidR="004F2D22" w:rsidRPr="00E10E80" w:rsidRDefault="004F2D22" w:rsidP="00E10E80">
      <w:pPr>
        <w:jc w:val="center"/>
      </w:pPr>
      <w:r w:rsidRPr="00E10E80">
        <w:t>References</w:t>
      </w:r>
    </w:p>
    <w:p w:rsidR="002849BD" w:rsidRPr="00E10E80" w:rsidRDefault="002849BD" w:rsidP="00E10E80">
      <w:pPr>
        <w:ind w:left="720" w:hanging="720"/>
        <w:rPr>
          <w:color w:val="222222"/>
          <w:shd w:val="clear" w:color="auto" w:fill="FFFFFF"/>
        </w:rPr>
      </w:pPr>
      <w:r w:rsidRPr="00E10E80">
        <w:rPr>
          <w:color w:val="222222"/>
          <w:shd w:val="clear" w:color="auto" w:fill="FFFFFF"/>
        </w:rPr>
        <w:t>Khan, K. (2019). </w:t>
      </w:r>
      <w:r w:rsidRPr="00E10E80">
        <w:rPr>
          <w:i/>
          <w:iCs/>
          <w:color w:val="222222"/>
          <w:shd w:val="clear" w:color="auto" w:fill="FFFFFF"/>
        </w:rPr>
        <w:t>This is Our Constitution: Discover America with a Gold Star Father</w:t>
      </w:r>
      <w:r w:rsidRPr="00E10E80">
        <w:rPr>
          <w:color w:val="222222"/>
          <w:shd w:val="clear" w:color="auto" w:fill="FFFFFF"/>
        </w:rPr>
        <w:t>. Yearling.</w:t>
      </w:r>
    </w:p>
    <w:p w:rsidR="002849BD" w:rsidRPr="00E10E80" w:rsidRDefault="002849BD" w:rsidP="00E10E80">
      <w:pPr>
        <w:ind w:left="720" w:hanging="720"/>
      </w:pPr>
      <w:r w:rsidRPr="00E10E80">
        <w:rPr>
          <w:color w:val="222222"/>
          <w:shd w:val="clear" w:color="auto" w:fill="FFFFFF"/>
        </w:rPr>
        <w:t>Priester, B. J. (2019). A Warrant Requirement Resurgence? The Fourth Amendment in the Roberts Court. </w:t>
      </w:r>
      <w:r w:rsidRPr="00E10E80">
        <w:rPr>
          <w:i/>
          <w:iCs/>
          <w:color w:val="222222"/>
          <w:shd w:val="clear" w:color="auto" w:fill="FFFFFF"/>
        </w:rPr>
        <w:t>St. John's Law Review</w:t>
      </w:r>
      <w:r w:rsidRPr="00E10E80">
        <w:rPr>
          <w:color w:val="222222"/>
          <w:shd w:val="clear" w:color="auto" w:fill="FFFFFF"/>
        </w:rPr>
        <w:t>, </w:t>
      </w:r>
      <w:r w:rsidRPr="00E10E80">
        <w:rPr>
          <w:i/>
          <w:iCs/>
          <w:color w:val="222222"/>
          <w:shd w:val="clear" w:color="auto" w:fill="FFFFFF"/>
        </w:rPr>
        <w:t>93</w:t>
      </w:r>
      <w:r w:rsidRPr="00E10E80">
        <w:rPr>
          <w:color w:val="222222"/>
          <w:shd w:val="clear" w:color="auto" w:fill="FFFFFF"/>
        </w:rPr>
        <w:t>.</w:t>
      </w:r>
    </w:p>
    <w:p w:rsidR="004F2D22" w:rsidRPr="00E10E80" w:rsidRDefault="004F2D22" w:rsidP="00E10E80">
      <w:pPr>
        <w:jc w:val="center"/>
        <w:rPr>
          <w:b/>
        </w:rPr>
      </w:pPr>
      <w:r w:rsidRPr="00E10E80">
        <w:rPr>
          <w:b/>
        </w:rPr>
        <w:t>Question 5</w:t>
      </w:r>
    </w:p>
    <w:p w:rsidR="004F2D22" w:rsidRPr="00E10E80" w:rsidRDefault="004F2D22" w:rsidP="00E10E80">
      <w:pPr>
        <w:ind w:firstLine="720"/>
      </w:pPr>
      <w:r w:rsidRPr="00E10E80">
        <w:t xml:space="preserve">It is fundamental that an application (app) license agreement includes a choice of revenue clause. </w:t>
      </w:r>
      <w:r w:rsidR="00D73F3C" w:rsidRPr="00E10E80">
        <w:t>According to Da Palma (2017), t</w:t>
      </w:r>
      <w:r w:rsidRPr="00E10E80">
        <w:t xml:space="preserve">he main reason as to why a license agreement should include a choice of revenue clause is to solve disputes that may arise among the members. In case of disputes regarding ownership and copyrights, a choice of revenue clause may easily solve issues in the underlying contract. A choice of revenue clause is a kind of agreement that allows the parties depending on the agreement, to agree that all </w:t>
      </w:r>
      <w:r w:rsidR="00A6383E" w:rsidRPr="00E10E80">
        <w:t>actions;</w:t>
      </w:r>
      <w:r w:rsidRPr="00E10E80">
        <w:t xml:space="preserve"> decisions as well as proceedings that may result out of will be solved using consent. As a user, the choice of venue clause is fundamental since it enables me to understand and be </w:t>
      </w:r>
      <w:r w:rsidRPr="00E10E80">
        <w:lastRenderedPageBreak/>
        <w:t xml:space="preserve">prepared in case of </w:t>
      </w:r>
      <w:r w:rsidR="007104AD">
        <w:t xml:space="preserve">the occurrence of </w:t>
      </w:r>
      <w:r w:rsidRPr="00E10E80">
        <w:t xml:space="preserve">a breach of contract. </w:t>
      </w:r>
      <w:r w:rsidR="00967E72" w:rsidRPr="00E10E80">
        <w:t>According to Gomulkiewicz (2018), t</w:t>
      </w:r>
      <w:r w:rsidRPr="00E10E80">
        <w:t xml:space="preserve">he breach of contract may have many effects since damages mostly accompany it. The damages may also be attributed to losses especially after an agreement is not reached. Therefore, the choice of revenue clause may allow me to clearly understand the effects of a breach of contract in the license agreement prior to its occurrence. </w:t>
      </w:r>
    </w:p>
    <w:p w:rsidR="004F2D22" w:rsidRPr="00E10E80" w:rsidRDefault="004F2D22" w:rsidP="00E10E80">
      <w:pPr>
        <w:ind w:firstLine="720"/>
      </w:pPr>
      <w:r w:rsidRPr="00E10E80">
        <w:t>Moreover, I am obliged to accept the specified venue/law since I am part and parcel of the licence agreement. In addition, I would be in a position to handle the disputes in case they arise. Accepting this venue would enable me to take part in</w:t>
      </w:r>
      <w:r w:rsidR="00D24C2F">
        <w:t xml:space="preserve"> making decisions in case there are</w:t>
      </w:r>
      <w:r w:rsidRPr="00E10E80">
        <w:t xml:space="preserve"> disputes as a result of copyrights for the purpose of litigation. Another reason is to understand the laws that govern the specific state that I am situated concerning the agreement.</w:t>
      </w:r>
      <w:r w:rsidR="00D24C2F" w:rsidRPr="00D24C2F">
        <w:t xml:space="preserve"> For that reason, I will be in a pole to understand the laws following the state.</w:t>
      </w:r>
      <w:bookmarkStart w:id="0" w:name="_GoBack"/>
      <w:bookmarkEnd w:id="0"/>
      <w:r w:rsidR="00577378" w:rsidRPr="00E10E80">
        <w:t xml:space="preserve"> It is important for an application (app) license agreement </w:t>
      </w:r>
      <w:r w:rsidR="00D24C2F">
        <w:t xml:space="preserve">to </w:t>
      </w:r>
      <w:r w:rsidR="00577378" w:rsidRPr="00E10E80">
        <w:t>include</w:t>
      </w:r>
      <w:r w:rsidR="005560D7">
        <w:t xml:space="preserve"> </w:t>
      </w:r>
      <w:r w:rsidR="00577378" w:rsidRPr="00E10E80">
        <w:t>a choice of revenue clause (Gomulkiewicz, 2018).</w:t>
      </w:r>
    </w:p>
    <w:p w:rsidR="004D55BE" w:rsidRPr="00E10E80" w:rsidRDefault="004D55BE" w:rsidP="00E10E80">
      <w:pPr>
        <w:jc w:val="center"/>
      </w:pPr>
      <w:r w:rsidRPr="00E10E80">
        <w:t>References</w:t>
      </w:r>
    </w:p>
    <w:p w:rsidR="00577378" w:rsidRPr="00E10E80" w:rsidRDefault="00577378" w:rsidP="00E10E80">
      <w:pPr>
        <w:ind w:left="720" w:hanging="720"/>
        <w:rPr>
          <w:color w:val="222222"/>
          <w:shd w:val="clear" w:color="auto" w:fill="FFFFFF"/>
        </w:rPr>
      </w:pPr>
      <w:r w:rsidRPr="00E10E80">
        <w:rPr>
          <w:color w:val="222222"/>
          <w:shd w:val="clear" w:color="auto" w:fill="FFFFFF"/>
        </w:rPr>
        <w:t>Da Palma, W. V. (2017). </w:t>
      </w:r>
      <w:r w:rsidRPr="00E10E80">
        <w:rPr>
          <w:i/>
          <w:iCs/>
          <w:color w:val="222222"/>
          <w:shd w:val="clear" w:color="auto" w:fill="FFFFFF"/>
        </w:rPr>
        <w:t>U.S. Patent No. 9,710,649</w:t>
      </w:r>
      <w:r w:rsidRPr="00E10E80">
        <w:rPr>
          <w:color w:val="222222"/>
          <w:shd w:val="clear" w:color="auto" w:fill="FFFFFF"/>
        </w:rPr>
        <w:t>. Washington, DC: U.S. Patent and Trademark Office.</w:t>
      </w:r>
    </w:p>
    <w:p w:rsidR="00577378" w:rsidRPr="00E10E80" w:rsidRDefault="00577378" w:rsidP="00E10E80">
      <w:pPr>
        <w:ind w:left="720" w:hanging="720"/>
      </w:pPr>
      <w:r w:rsidRPr="00E10E80">
        <w:rPr>
          <w:color w:val="222222"/>
          <w:shd w:val="clear" w:color="auto" w:fill="FFFFFF"/>
        </w:rPr>
        <w:t>Gomulkiewicz, R. W. (2018). Is the License Still the Product. </w:t>
      </w:r>
      <w:r w:rsidRPr="00E10E80">
        <w:rPr>
          <w:i/>
          <w:iCs/>
          <w:color w:val="222222"/>
          <w:shd w:val="clear" w:color="auto" w:fill="FFFFFF"/>
        </w:rPr>
        <w:t>Ariz. L. Rev.</w:t>
      </w:r>
      <w:r w:rsidRPr="00E10E80">
        <w:rPr>
          <w:color w:val="222222"/>
          <w:shd w:val="clear" w:color="auto" w:fill="FFFFFF"/>
        </w:rPr>
        <w:t>, </w:t>
      </w:r>
      <w:r w:rsidRPr="00E10E80">
        <w:rPr>
          <w:i/>
          <w:iCs/>
          <w:color w:val="222222"/>
          <w:shd w:val="clear" w:color="auto" w:fill="FFFFFF"/>
        </w:rPr>
        <w:t>60</w:t>
      </w:r>
      <w:r w:rsidRPr="00E10E80">
        <w:rPr>
          <w:color w:val="222222"/>
          <w:shd w:val="clear" w:color="auto" w:fill="FFFFFF"/>
        </w:rPr>
        <w:t>, 425.</w:t>
      </w:r>
    </w:p>
    <w:p w:rsidR="00773ABA" w:rsidRPr="00E10E80" w:rsidRDefault="00773ABA" w:rsidP="00E10E80"/>
    <w:p w:rsidR="00773ABA" w:rsidRPr="00E10E80" w:rsidRDefault="00773ABA" w:rsidP="00E10E80"/>
    <w:p w:rsidR="00773ABA" w:rsidRPr="00E10E80" w:rsidRDefault="00773ABA" w:rsidP="00E10E80"/>
    <w:sectPr w:rsidR="00773ABA" w:rsidRPr="00E10E80" w:rsidSect="004F2D2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C7F" w:rsidRDefault="00C75C7F" w:rsidP="004F2D22">
      <w:pPr>
        <w:spacing w:after="0" w:line="240" w:lineRule="auto"/>
      </w:pPr>
      <w:r>
        <w:separator/>
      </w:r>
    </w:p>
  </w:endnote>
  <w:endnote w:type="continuationSeparator" w:id="1">
    <w:p w:rsidR="00C75C7F" w:rsidRDefault="00C75C7F" w:rsidP="004F2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C7F" w:rsidRDefault="00C75C7F" w:rsidP="004F2D22">
      <w:pPr>
        <w:spacing w:after="0" w:line="240" w:lineRule="auto"/>
      </w:pPr>
      <w:r>
        <w:separator/>
      </w:r>
    </w:p>
  </w:footnote>
  <w:footnote w:type="continuationSeparator" w:id="1">
    <w:p w:rsidR="00C75C7F" w:rsidRDefault="00C75C7F" w:rsidP="004F2D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2732402"/>
      <w:docPartObj>
        <w:docPartGallery w:val="Page Numbers (Top of Page)"/>
        <w:docPartUnique/>
      </w:docPartObj>
    </w:sdtPr>
    <w:sdtEndPr>
      <w:rPr>
        <w:noProof/>
      </w:rPr>
    </w:sdtEndPr>
    <w:sdtContent>
      <w:p w:rsidR="004F2D22" w:rsidRDefault="004F2D22" w:rsidP="004F2D22">
        <w:pPr>
          <w:pStyle w:val="Header"/>
          <w:spacing w:line="480" w:lineRule="auto"/>
        </w:pPr>
        <w:r w:rsidRPr="004F2D22">
          <w:t>QUESTIONS</w:t>
        </w:r>
        <w:r w:rsidR="00D779F9">
          <w:t xml:space="preserve">                                                                                                                              </w:t>
        </w:r>
        <w:r w:rsidR="00333709">
          <w:fldChar w:fldCharType="begin"/>
        </w:r>
        <w:r>
          <w:instrText xml:space="preserve"> PAGE   \* MERGEFORMAT </w:instrText>
        </w:r>
        <w:r w:rsidR="00333709">
          <w:fldChar w:fldCharType="separate"/>
        </w:r>
        <w:r w:rsidR="00A6383E">
          <w:rPr>
            <w:noProof/>
          </w:rPr>
          <w:t>3</w:t>
        </w:r>
        <w:r w:rsidR="0033370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22" w:rsidRDefault="004F2D22" w:rsidP="004F2D22">
    <w:pPr>
      <w:pStyle w:val="Header"/>
      <w:spacing w:line="480" w:lineRule="auto"/>
    </w:pPr>
    <w:r>
      <w:t xml:space="preserve">Running head: </w:t>
    </w:r>
    <w:r w:rsidRPr="004F2D22">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0F29"/>
    <w:rsid w:val="00027D3A"/>
    <w:rsid w:val="00030FEF"/>
    <w:rsid w:val="00040053"/>
    <w:rsid w:val="000B6F4B"/>
    <w:rsid w:val="000F742A"/>
    <w:rsid w:val="000F7A3E"/>
    <w:rsid w:val="0010084E"/>
    <w:rsid w:val="001373B2"/>
    <w:rsid w:val="00144E15"/>
    <w:rsid w:val="001F0E95"/>
    <w:rsid w:val="00201077"/>
    <w:rsid w:val="00205FB2"/>
    <w:rsid w:val="0020787C"/>
    <w:rsid w:val="00210DFD"/>
    <w:rsid w:val="00217CFA"/>
    <w:rsid w:val="00252A3E"/>
    <w:rsid w:val="00273C1E"/>
    <w:rsid w:val="002849BD"/>
    <w:rsid w:val="00333709"/>
    <w:rsid w:val="003445DD"/>
    <w:rsid w:val="00390F29"/>
    <w:rsid w:val="003A313B"/>
    <w:rsid w:val="003B0AF3"/>
    <w:rsid w:val="003C1AB5"/>
    <w:rsid w:val="003C6A99"/>
    <w:rsid w:val="003D3321"/>
    <w:rsid w:val="003F541A"/>
    <w:rsid w:val="00461883"/>
    <w:rsid w:val="004B2FCA"/>
    <w:rsid w:val="004D55BE"/>
    <w:rsid w:val="004F2D22"/>
    <w:rsid w:val="005232B6"/>
    <w:rsid w:val="005247D6"/>
    <w:rsid w:val="005560D7"/>
    <w:rsid w:val="00563BBF"/>
    <w:rsid w:val="00577378"/>
    <w:rsid w:val="005B5699"/>
    <w:rsid w:val="005B6D9C"/>
    <w:rsid w:val="005D094C"/>
    <w:rsid w:val="005D57C5"/>
    <w:rsid w:val="005F0C95"/>
    <w:rsid w:val="005F6776"/>
    <w:rsid w:val="00633CE1"/>
    <w:rsid w:val="0064072E"/>
    <w:rsid w:val="006D2762"/>
    <w:rsid w:val="007104AD"/>
    <w:rsid w:val="00773ABA"/>
    <w:rsid w:val="00782DE5"/>
    <w:rsid w:val="00831401"/>
    <w:rsid w:val="008342C9"/>
    <w:rsid w:val="00886BCA"/>
    <w:rsid w:val="008C2A33"/>
    <w:rsid w:val="008C77BF"/>
    <w:rsid w:val="00967E72"/>
    <w:rsid w:val="00972D8A"/>
    <w:rsid w:val="009C1815"/>
    <w:rsid w:val="009D7D5F"/>
    <w:rsid w:val="00A6383E"/>
    <w:rsid w:val="00A74C04"/>
    <w:rsid w:val="00AE55F8"/>
    <w:rsid w:val="00B06B4D"/>
    <w:rsid w:val="00B63FFD"/>
    <w:rsid w:val="00B64F52"/>
    <w:rsid w:val="00B82880"/>
    <w:rsid w:val="00BE028F"/>
    <w:rsid w:val="00BE579B"/>
    <w:rsid w:val="00C115DD"/>
    <w:rsid w:val="00C75C7F"/>
    <w:rsid w:val="00C82E23"/>
    <w:rsid w:val="00C85B3C"/>
    <w:rsid w:val="00C967D9"/>
    <w:rsid w:val="00CA4097"/>
    <w:rsid w:val="00CC52B9"/>
    <w:rsid w:val="00D24C2F"/>
    <w:rsid w:val="00D73F3C"/>
    <w:rsid w:val="00D771D5"/>
    <w:rsid w:val="00D779F9"/>
    <w:rsid w:val="00DC696D"/>
    <w:rsid w:val="00DF7156"/>
    <w:rsid w:val="00E10E80"/>
    <w:rsid w:val="00E84976"/>
    <w:rsid w:val="00E85551"/>
    <w:rsid w:val="00EA3EFA"/>
    <w:rsid w:val="00ED6D0D"/>
    <w:rsid w:val="00EF39E9"/>
    <w:rsid w:val="00EF78AD"/>
    <w:rsid w:val="00F20C82"/>
    <w:rsid w:val="00F760C2"/>
    <w:rsid w:val="00F77F0F"/>
    <w:rsid w:val="00FC34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D22"/>
  </w:style>
  <w:style w:type="paragraph" w:styleId="Footer">
    <w:name w:val="footer"/>
    <w:basedOn w:val="Normal"/>
    <w:link w:val="FooterChar"/>
    <w:uiPriority w:val="99"/>
    <w:unhideWhenUsed/>
    <w:rsid w:val="004F2D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D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2019-03-18T18:25:00Z</dcterms:created>
  <dcterms:modified xsi:type="dcterms:W3CDTF">2019-03-18T18:25:00Z</dcterms:modified>
</cp:coreProperties>
</file>